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C6DD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Monitorul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Oficial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1104 din 19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publicat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3896/2020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Procedurii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fiscal central. 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23B5DE1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Totodata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2 la OPANAF nr. 90/2016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continutului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central. 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retinut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competent nu continua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silita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somatiei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nr. 2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Ordinul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presedintelui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Agentiei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Nationale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nr. 90/2016,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articolul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12,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alineatul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(3) se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modifica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urmatorul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cuprins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incadreaza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204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autorizatia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alt act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vechimea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ramase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nestinse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caror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pierduta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 (1)."</w:t>
      </w:r>
    </w:p>
    <w:p w14:paraId="1316992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administrate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central,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denumit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organ fiscal,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caror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scadenta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/termen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implinit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declararii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nestinse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 sunt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BB4F1" w14:textId="2FDCDBAE" w:rsidR="00D869F6" w:rsidRPr="00D869F6" w:rsidRDefault="00D869F6" w:rsidP="00D8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impozite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taxe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contributii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consolidat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093C9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amenzile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administrate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fiscal;</w:t>
      </w:r>
    </w:p>
    <w:p w14:paraId="0166722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creantele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recuperare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creantele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raporturi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hotarari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judecatoresti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inscrisuri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titluri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executorii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36215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creante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savarsirea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infractiuni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prejudicii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judiciare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amenzi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judiciare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(3) Nu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incadreaza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creantelor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lit. 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fac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confiscari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echivalentul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considerate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constitui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direct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indirect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infractiuni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9613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declararii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a/al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caror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scadenta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/termen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implineste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vizeaza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036E25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A5624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impunere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B70A4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rectificative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11A47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DEB036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titluri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executorii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recuperare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1AD8B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stabilesc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impozite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taxe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contributii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consolidat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7C64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includerii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F8D8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pe 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rate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solicitata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5632A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notificari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cap. I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6/2019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facilitati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cap. II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69/2020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227/2015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renunta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a beneficia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restructurarea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(13)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masurilor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restructurare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restante la 31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2018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cuantum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egal cu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milion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lei,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finantelor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2.810/2019,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anulare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finantelor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2.100/2020.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1D9A040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bookmarkStart w:id="0" w:name="_Hlk57362266"/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>carei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de 15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Modalitatile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9A0645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registratura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fiscal;</w:t>
      </w:r>
    </w:p>
    <w:p w14:paraId="07EF4A9B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confirmare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primire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0DBF0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Spatiu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virtual".</w:t>
      </w:r>
      <w:bookmarkEnd w:id="0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competent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analizeaza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raportat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540A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opteaza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diferentiata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mentioneaza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rata,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procentul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achitat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6E6F3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5%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jumatate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solicitata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C3C1B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diferenta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imparte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egal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rata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ramase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AD67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(4)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solicitata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impar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(3) lit. a)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rotunjeste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plus.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11515FA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Eliberarea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certificatului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fiscala</w:t>
      </w:r>
      <w:proofErr w:type="spellEnd"/>
    </w:p>
    <w:p w14:paraId="79CE6E4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primirea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2, in 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concomitent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690B2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dobanzi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DED3E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3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73356F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5;</w:t>
      </w:r>
    </w:p>
    <w:p w14:paraId="14D59CF2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7;</w:t>
      </w:r>
    </w:p>
    <w:p w14:paraId="61F2BD8A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8.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385E37D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referatului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lit. c),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92063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indeplinite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(6) - (9)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5E352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rambursat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/de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restituit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/de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a/au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rambursare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/de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restituire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individualizare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compensarea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167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E8B1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competent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B lit. a), 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 lit. a)-c)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inscriu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fiecaruia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605BDEE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</w:p>
    <w:p w14:paraId="3F8432EB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(1)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indeplinite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(6) - (9)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22EC6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rate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dobanzile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imparte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egal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rata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Derogari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14:paraId="61E92DC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fie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5%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adauga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dobanda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calculata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achite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proportional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D3E6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data de 15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Prima rata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data de 15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091FF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ratelor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salarii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impozit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inregistreze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salarii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asimilate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salariilor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DB88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173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176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calculeaza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D0B87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(7)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nu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indeplinite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(6) - (9)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precizarea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nu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016E2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(7)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situatii:</w:t>
      </w:r>
    </w:p>
    <w:p w14:paraId="5D5A919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inlesnirilor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anterioara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care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908EF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stingerii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totalitate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facut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C8B72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(9)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Inaintea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audierea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9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intocmi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-verbal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audiere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61EF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lit. c),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EC97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indreptare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erorilor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indrepta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erorile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continutul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care produce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efecte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49F7F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contabila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clarifica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intocmeste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-verbal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9.</w:t>
      </w:r>
    </w:p>
    <w:p w14:paraId="616791D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-verbal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inscriu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fiecaruia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fac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3DD7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indreptarea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erorilor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concomitent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642D0A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-verbal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20E0C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C0DC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14:paraId="2589832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(4)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277A472A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Conditii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esalonarilor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4,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10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8ECBA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lit. f)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somatia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urmaririi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indeplinirii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66E6694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Finalizarea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stinse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totalitate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finalizare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13. Un exemplar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finalizare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1E86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reduce cu 75%.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14. Un exemplar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competent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E5AF7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Diferenta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25%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156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 (2).</w:t>
      </w:r>
    </w:p>
    <w:p w14:paraId="6694868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nu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instituita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instituie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8D55B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cu 75%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(4),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aplicandu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-se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181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E03B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finalizare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7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indruma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 (5).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58230EC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Pierderea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constata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neindeplinirea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30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nerespectarii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constatare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16. Un exemplar 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</w:t>
      </w:r>
    </w:p>
    <w:p w14:paraId="6E9B773E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data la care nu sunt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dispozitiile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4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10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titularul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A777D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incadreaza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204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care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autorizatia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alt act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vechimea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ramase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nestinse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caror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pierduta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 (1).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2706DAE4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Mentinerea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carei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pierduta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modalitatile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art. 2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2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(3)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8268F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solutionarii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in 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concomitent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BC0B9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dobanzi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15C9A4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5895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lit. b)-d), f)-j)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D2DCF7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impreuna cu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17,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pastrarea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ramase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pastrarea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intelege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ramas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pierdut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73F46D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nr. 18.</w:t>
      </w:r>
    </w:p>
    <w:p w14:paraId="2A74EDD0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Odata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competent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anuleaza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emisa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9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 (1).</w:t>
      </w:r>
    </w:p>
    <w:p w14:paraId="62D413E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lit. c),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7D0CB931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b/>
          <w:bCs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br/>
      </w:r>
      <w:r w:rsidRPr="00D869F6">
        <w:rPr>
          <w:rFonts w:ascii="Times New Roman" w:eastAsia="Times New Roman" w:hAnsi="Times New Roman" w:cs="Times New Roman"/>
          <w:sz w:val="24"/>
          <w:szCs w:val="24"/>
        </w:rPr>
        <w:br/>
        <w:t xml:space="preserve">(1)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ulterior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se sting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anticipat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3 rate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207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(5)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98E0D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(3)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2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(3),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solutionarea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termen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concomitent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3B6F4D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dobanzi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29AA13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6E7138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mentinere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valabilitatii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lit. a)-d)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f-k)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FA54C6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amanare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penalitatilor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nedeclarare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aplicandu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-se in mod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art. 6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14:paraId="1A930B32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9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impreuna cu un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grafic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care face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integranta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pastrarea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ramase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initial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intelege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pe o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esalonare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139C9" w14:textId="77777777" w:rsidR="00D869F6" w:rsidRPr="00D869F6" w:rsidRDefault="00D869F6" w:rsidP="00D8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. (2), cu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la lit. c),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cate un exemplar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arhiveaza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 la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fiscal. In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debitorilor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sedii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debitorului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 xml:space="preserve"> care le-a </w:t>
      </w:r>
      <w:proofErr w:type="spellStart"/>
      <w:r w:rsidRPr="00D869F6">
        <w:rPr>
          <w:rFonts w:ascii="Times New Roman" w:eastAsia="Times New Roman" w:hAnsi="Times New Roman" w:cs="Times New Roman"/>
          <w:sz w:val="24"/>
          <w:szCs w:val="24"/>
        </w:rPr>
        <w:t>infiintat</w:t>
      </w:r>
      <w:proofErr w:type="spellEnd"/>
      <w:r w:rsidRPr="00D869F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869F6" w:rsidRPr="00D8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F6"/>
    <w:rsid w:val="003419C0"/>
    <w:rsid w:val="00B11C49"/>
    <w:rsid w:val="00D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3760"/>
  <w15:chartTrackingRefBased/>
  <w15:docId w15:val="{349F9E24-0153-48CC-A45D-E7A1704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6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6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9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69F6"/>
    <w:rPr>
      <w:color w:val="0000FF"/>
      <w:u w:val="single"/>
    </w:rPr>
  </w:style>
  <w:style w:type="character" w:customStyle="1" w:styleId="minibutton">
    <w:name w:val="mini_button"/>
    <w:basedOn w:val="DefaultParagraphFont"/>
    <w:rsid w:val="00D869F6"/>
  </w:style>
  <w:style w:type="character" w:customStyle="1" w:styleId="tags">
    <w:name w:val="tags"/>
    <w:basedOn w:val="DefaultParagraphFont"/>
    <w:rsid w:val="00D869F6"/>
  </w:style>
  <w:style w:type="character" w:customStyle="1" w:styleId="at4-visually-hidden">
    <w:name w:val="at4-visually-hidden"/>
    <w:basedOn w:val="DefaultParagraphFont"/>
    <w:rsid w:val="00D869F6"/>
  </w:style>
  <w:style w:type="character" w:customStyle="1" w:styleId="atflatcounter">
    <w:name w:val="at_flat_counter"/>
    <w:basedOn w:val="DefaultParagraphFont"/>
    <w:rsid w:val="00D8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</dc:creator>
  <cp:keywords/>
  <dc:description/>
  <cp:lastModifiedBy>apuiualexandru@outlook.com</cp:lastModifiedBy>
  <cp:revision>2</cp:revision>
  <dcterms:created xsi:type="dcterms:W3CDTF">2020-11-20T15:20:00Z</dcterms:created>
  <dcterms:modified xsi:type="dcterms:W3CDTF">2020-11-27T07:39:00Z</dcterms:modified>
</cp:coreProperties>
</file>